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w:t>
      </w:r>
      <w:r>
        <w:rPr>
          <w:rFonts w:hint="eastAsia" w:eastAsia="宋体"/>
          <w:b/>
          <w:sz w:val="24"/>
          <w:lang w:val="en-US" w:eastAsia="zh-CN"/>
        </w:rPr>
        <w:t>RAN WG</w:t>
      </w:r>
      <w:r>
        <w:rPr>
          <w:b/>
          <w:sz w:val="24"/>
        </w:rPr>
        <w:t xml:space="preserve"> Meeting #</w:t>
      </w:r>
      <w:r>
        <w:rPr>
          <w:rFonts w:hint="eastAsia" w:eastAsia="宋体"/>
          <w:b/>
          <w:sz w:val="24"/>
          <w:lang w:val="en-US" w:eastAsia="zh-CN"/>
        </w:rPr>
        <w:t>86</w:t>
      </w:r>
      <w:r>
        <w:rPr>
          <w:b/>
          <w:sz w:val="24"/>
        </w:rPr>
        <w:tab/>
      </w:r>
      <w:r>
        <w:rPr>
          <w:rFonts w:hint="eastAsia"/>
          <w:b/>
          <w:sz w:val="24"/>
        </w:rPr>
        <w:t>R</w:t>
      </w:r>
      <w:r>
        <w:rPr>
          <w:rFonts w:hint="eastAsia" w:eastAsia="宋体"/>
          <w:b/>
          <w:sz w:val="24"/>
          <w:lang w:val="en-US" w:eastAsia="zh-CN"/>
        </w:rPr>
        <w:t>P</w:t>
      </w:r>
      <w:r>
        <w:rPr>
          <w:rFonts w:hint="eastAsia"/>
          <w:b/>
          <w:sz w:val="24"/>
        </w:rPr>
        <w:t>-19</w:t>
      </w:r>
      <w:r>
        <w:rPr>
          <w:rFonts w:hint="eastAsia" w:eastAsia="宋体"/>
          <w:b/>
          <w:sz w:val="24"/>
          <w:lang w:val="en-US" w:eastAsia="zh-CN"/>
        </w:rPr>
        <w:t>2754</w:t>
      </w:r>
      <w:bookmarkStart w:id="4" w:name="_GoBack"/>
      <w:bookmarkEnd w:id="4"/>
    </w:p>
    <w:p>
      <w:pPr>
        <w:pStyle w:val="81"/>
        <w:outlineLvl w:val="0"/>
        <w:rPr>
          <w:rFonts w:hint="default" w:eastAsia="宋体"/>
          <w:b/>
          <w:sz w:val="24"/>
          <w:lang w:val="en-US" w:eastAsia="zh-CN"/>
        </w:rPr>
      </w:pPr>
      <w:r>
        <w:rPr>
          <w:rFonts w:ascii="Arial" w:hAnsi="Arial" w:cs="Arial"/>
          <w:b/>
          <w:sz w:val="28"/>
          <w:szCs w:val="28"/>
        </w:rPr>
        <w:t>Sitges, Spain, December 9-12, 2019</w:t>
      </w:r>
      <w:r>
        <w:rPr>
          <w:rFonts w:hint="eastAsia" w:eastAsia="宋体" w:cs="Arial"/>
          <w:b/>
          <w:sz w:val="28"/>
          <w:szCs w:val="28"/>
          <w:lang w:val="en-US" w:eastAsia="zh-CN"/>
        </w:rPr>
        <w:t xml:space="preserve">                                     </w:t>
      </w:r>
      <w:r>
        <w:rPr>
          <w:rFonts w:hint="eastAsia" w:eastAsia="宋体" w:cs="Arial"/>
          <w:b/>
          <w:sz w:val="18"/>
          <w:szCs w:val="18"/>
          <w:lang w:val="en-US" w:eastAsia="zh-CN"/>
        </w:rPr>
        <w:t xml:space="preserve"> (Revision of R3-197750)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rPr>
          <w:trHeight w:val="163" w:hRule="atLeast"/>
        </w:trPr>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eastAsia="宋体"/>
                <w:b/>
                <w:sz w:val="28"/>
                <w:lang w:val="en-US" w:eastAsia="zh-CN"/>
              </w:rPr>
            </w:pPr>
            <w:r>
              <w:rPr>
                <w:rFonts w:hint="eastAsia"/>
                <w:b/>
                <w:sz w:val="28"/>
                <w:szCs w:val="22"/>
                <w:lang w:val="en-US" w:eastAsia="zh-CN"/>
              </w:rPr>
              <w:t>TS38.401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2"/>
                <w:lang w:val="en-US" w:eastAsia="zh-CN"/>
              </w:rPr>
              <w:t>0105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b/>
                <w:sz w:val="28"/>
                <w:szCs w:val="22"/>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hint="eastAsia" w:ascii="Arial" w:hAnsi="Arial"/>
                <w:b/>
                <w:sz w:val="28"/>
                <w:szCs w:val="22"/>
                <w:lang w:val="en-US" w:eastAsia="zh-CN"/>
              </w:rPr>
              <w:t>15.6.0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1"/>
              <w:spacing w:after="0"/>
              <w:rPr>
                <w:sz w:val="8"/>
                <w:szCs w:val="8"/>
              </w:rPr>
            </w:pPr>
          </w:p>
        </w:tc>
      </w:tr>
      <w:tr>
        <w:tblPrEx>
          <w:tblLayout w:type="fixed"/>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sz w:val="21"/>
                <w:szCs w:val="22"/>
                <w:lang w:val="en-US" w:eastAsia="zh-CN"/>
              </w:rPr>
              <w:t>CR for RRC Container IE in Initial UL RRC Message Transfer procedure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color w:val="000000"/>
              </w:rPr>
              <w:t>ZTE</w:t>
            </w:r>
            <w:r>
              <w:rPr>
                <w:rFonts w:hint="eastAsia" w:eastAsia="宋体"/>
                <w:color w:val="000000"/>
                <w:lang w:val="en-US" w:eastAsia="zh-CN"/>
              </w:rPr>
              <w:t xml:space="preserve">, </w:t>
            </w:r>
            <w:r>
              <w:rPr>
                <w:lang w:eastAsia="zh-CN"/>
              </w:rPr>
              <w:t>Ericsson</w:t>
            </w:r>
            <w:r>
              <w:rPr>
                <w:rFonts w:hint="eastAsia" w:eastAsia="宋体"/>
                <w:lang w:val="en-US" w:eastAsia="zh-CN"/>
              </w:rPr>
              <w:t xml:space="preserve">, China Telecom, China Unicom, </w:t>
            </w:r>
            <w:r>
              <w:rPr>
                <w:rFonts w:hint="eastAsia"/>
                <w:lang w:val="en-US" w:eastAsia="zh-CN"/>
              </w:rPr>
              <w:t>China Mobile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2019-11-28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widowControl w:val="0"/>
              <w:spacing w:after="0"/>
              <w:ind w:left="144" w:hanging="144"/>
              <w:rPr>
                <w:rFonts w:cs="Calibri"/>
                <w:b/>
                <w:bCs/>
                <w:color w:val="00B050"/>
                <w:sz w:val="18"/>
                <w:szCs w:val="24"/>
              </w:rPr>
            </w:pPr>
            <w:r>
              <w:rPr>
                <w:rFonts w:hint="eastAsia" w:cs="Calibri"/>
                <w:szCs w:val="28"/>
                <w:lang w:val="en-US" w:eastAsia="zh-CN"/>
              </w:rPr>
              <w:t>I</w:t>
            </w:r>
            <w:r>
              <w:rPr>
                <w:rFonts w:cs="Calibri"/>
                <w:szCs w:val="28"/>
              </w:rPr>
              <w:t>t was argued that in the case of network sharing, according to TS 38.401 the Initial UL RRC message is used to transfer both the msg3 and the msg5 towards the gNB-CU. Based on that the following was agreed:</w:t>
            </w:r>
          </w:p>
          <w:p>
            <w:pPr>
              <w:widowControl w:val="0"/>
              <w:spacing w:after="0"/>
              <w:ind w:left="144" w:hanging="144"/>
              <w:rPr>
                <w:rFonts w:cs="Calibri"/>
                <w:b/>
                <w:bCs/>
                <w:color w:val="00B050"/>
                <w:sz w:val="18"/>
                <w:szCs w:val="24"/>
              </w:rPr>
            </w:pPr>
          </w:p>
          <w:p>
            <w:pPr>
              <w:widowControl w:val="0"/>
              <w:spacing w:after="0"/>
              <w:ind w:left="144" w:hanging="144"/>
              <w:rPr>
                <w:rFonts w:cs="Calibri"/>
                <w:b/>
                <w:bCs/>
                <w:color w:val="00B050"/>
                <w:sz w:val="18"/>
                <w:szCs w:val="24"/>
              </w:rPr>
            </w:pPr>
            <w:r>
              <w:rPr>
                <w:rFonts w:cs="Calibri"/>
                <w:b/>
                <w:bCs/>
                <w:color w:val="00B050"/>
                <w:sz w:val="18"/>
                <w:szCs w:val="24"/>
              </w:rPr>
              <w:t xml:space="preserve">RAN3 agree to add RRC-Container-MSG5 IE to </w:t>
            </w:r>
            <w:bookmarkStart w:id="2" w:name="_Hlk23361577"/>
            <w:r>
              <w:rPr>
                <w:rFonts w:cs="Calibri"/>
                <w:b/>
                <w:bCs/>
                <w:color w:val="00B050"/>
                <w:sz w:val="18"/>
                <w:szCs w:val="24"/>
              </w:rPr>
              <w:t>INITIAL UL RRC MESSAGE TRANSFER</w:t>
            </w:r>
            <w:bookmarkEnd w:id="2"/>
          </w:p>
          <w:p>
            <w:pPr>
              <w:widowControl w:val="0"/>
              <w:spacing w:after="0"/>
              <w:ind w:left="144" w:hanging="144"/>
              <w:rPr>
                <w:rFonts w:cs="Calibri"/>
                <w:b/>
                <w:bCs/>
                <w:color w:val="00B050"/>
                <w:sz w:val="18"/>
                <w:szCs w:val="24"/>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ascii="Times New Roman" w:hAnsi="Times New Roman" w:eastAsia="宋体"/>
                <w:sz w:val="21"/>
                <w:szCs w:val="22"/>
                <w:lang w:val="en-US" w:eastAsia="zh-CN"/>
              </w:rPr>
            </w:pPr>
            <w:r>
              <w:rPr>
                <w:rFonts w:hint="eastAsia" w:ascii="Times New Roman" w:hAnsi="Times New Roman" w:eastAsia="宋体"/>
                <w:sz w:val="21"/>
                <w:szCs w:val="22"/>
                <w:lang w:val="en-US" w:eastAsia="zh-CN"/>
              </w:rPr>
              <w:t>Clarification text is added in TS38.401.</w:t>
            </w:r>
          </w:p>
          <w:p>
            <w:pPr>
              <w:pStyle w:val="81"/>
              <w:spacing w:after="0"/>
              <w:rPr>
                <w:rFonts w:ascii="Times New Roman" w:hAnsi="Times New Roman" w:eastAsia="宋体"/>
                <w:sz w:val="21"/>
                <w:szCs w:val="22"/>
                <w:lang w:val="en-US" w:eastAsia="zh-CN"/>
              </w:rPr>
            </w:pPr>
            <w:r>
              <w:rPr>
                <w:rFonts w:hint="eastAsia" w:ascii="Times New Roman" w:hAnsi="Times New Roman" w:eastAsia="宋体"/>
                <w:sz w:val="21"/>
                <w:szCs w:val="22"/>
                <w:lang w:val="en-US" w:eastAsia="zh-CN"/>
              </w:rPr>
              <w:t>Some editorial updates.</w:t>
            </w:r>
          </w:p>
          <w:p>
            <w:pPr>
              <w:pStyle w:val="81"/>
              <w:spacing w:after="0"/>
              <w:rPr>
                <w:u w:val="single"/>
                <w:lang w:eastAsia="zh-CN"/>
              </w:rPr>
            </w:pPr>
            <w:r>
              <w:rPr>
                <w:u w:val="single"/>
              </w:rPr>
              <w:t xml:space="preserve">Impact assessment towards the previous version of the specification: </w:t>
            </w:r>
          </w:p>
          <w:p>
            <w:pPr>
              <w:pStyle w:val="81"/>
              <w:spacing w:after="0"/>
              <w:rPr>
                <w:rFonts w:ascii="Times New Roman" w:hAnsi="Times New Roman" w:eastAsia="宋体"/>
                <w:sz w:val="21"/>
                <w:szCs w:val="22"/>
                <w:lang w:val="en-US" w:eastAsia="zh-CN"/>
              </w:rPr>
            </w:pPr>
            <w:r>
              <w:t>This CR has</w:t>
            </w:r>
            <w:r>
              <w:rPr>
                <w:rFonts w:hint="eastAsia" w:eastAsia="宋体"/>
                <w:lang w:val="en-US" w:eastAsia="zh-CN"/>
              </w:rPr>
              <w:t xml:space="preserve"> isolated </w:t>
            </w:r>
            <w:r>
              <w:t xml:space="preserve">impact </w:t>
            </w:r>
            <w:r>
              <w:rPr>
                <w:rFonts w:hint="eastAsia" w:eastAsia="宋体"/>
                <w:lang w:val="en-US" w:eastAsia="zh-CN"/>
              </w:rPr>
              <w:t>on Network sharing</w:t>
            </w:r>
            <w:r>
              <w:rPr>
                <w:rFonts w:hint="eastAsia"/>
                <w:lang w:val="en-US" w:eastAsia="zh-CN"/>
              </w:rPr>
              <w:t xml:space="preserve"> </w:t>
            </w:r>
            <w:r>
              <w:t xml:space="preserve">from functional and procedural points of view. This CR has </w:t>
            </w:r>
            <w:r>
              <w:rPr>
                <w:rFonts w:hint="eastAsia" w:eastAsia="宋体"/>
                <w:lang w:val="en-US" w:eastAsia="zh-CN"/>
              </w:rPr>
              <w:t xml:space="preserve">no </w:t>
            </w:r>
            <w:r>
              <w:t xml:space="preserve">impact </w:t>
            </w:r>
            <w:r>
              <w:rPr>
                <w:rFonts w:hint="eastAsia"/>
                <w:lang w:eastAsia="zh-CN"/>
              </w:rPr>
              <w:t>on ASN.1</w:t>
            </w:r>
            <w: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eastAsia="宋体"/>
                <w:lang w:val="en-US" w:eastAsia="zh-CN"/>
              </w:rPr>
            </w:pPr>
            <w:r>
              <w:rPr>
                <w:rFonts w:hint="eastAsia" w:ascii="Times New Roman" w:hAnsi="Times New Roman" w:eastAsia="宋体"/>
                <w:sz w:val="21"/>
                <w:szCs w:val="22"/>
                <w:lang w:val="en-US" w:eastAsia="zh-CN"/>
              </w:rPr>
              <w:t>Network sharing can not be supported completely in R15.</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8.11.2, 8.11.3</w:t>
            </w:r>
          </w:p>
        </w:tc>
      </w:tr>
      <w:tr>
        <w:tblPrEx>
          <w:tblLayout w:type="fixed"/>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eastAsia="宋体"/>
                <w:lang w:val="en-US" w:eastAsia="zh-CN"/>
              </w:rPr>
              <w:t xml:space="preserve"> 36.473</w:t>
            </w:r>
            <w:r>
              <w:t xml:space="preserve"> CR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Rev 2:</w:t>
            </w:r>
          </w:p>
          <w:p>
            <w:pPr>
              <w:pStyle w:val="81"/>
              <w:spacing w:after="0"/>
              <w:ind w:left="100"/>
              <w:rPr>
                <w:rFonts w:hint="default" w:eastAsia="宋体"/>
                <w:lang w:val="en-US" w:eastAsia="zh-CN"/>
              </w:rPr>
            </w:pPr>
            <w:r>
              <w:rPr>
                <w:rFonts w:hint="eastAsia" w:eastAsia="宋体"/>
                <w:lang w:val="en-US" w:eastAsia="zh-CN"/>
              </w:rPr>
              <w:t>Editorial updates.</w:t>
            </w:r>
          </w:p>
          <w:p>
            <w:pPr>
              <w:pStyle w:val="81"/>
              <w:spacing w:after="0"/>
              <w:ind w:left="100"/>
              <w:rPr>
                <w:rFonts w:hint="eastAsia" w:eastAsia="宋体"/>
                <w:lang w:val="en-US" w:eastAsia="zh-CN"/>
              </w:rPr>
            </w:pPr>
            <w:r>
              <w:rPr>
                <w:rFonts w:hint="eastAsia" w:eastAsia="宋体"/>
                <w:lang w:val="en-US" w:eastAsia="zh-CN"/>
              </w:rPr>
              <w:t>Rev 1:</w:t>
            </w:r>
          </w:p>
          <w:p>
            <w:pPr>
              <w:pStyle w:val="81"/>
              <w:spacing w:after="0"/>
              <w:ind w:left="100"/>
              <w:rPr>
                <w:rFonts w:hint="default" w:eastAsia="宋体"/>
                <w:lang w:val="en-US" w:eastAsia="zh-CN"/>
              </w:rPr>
            </w:pPr>
            <w:r>
              <w:rPr>
                <w:rFonts w:hint="eastAsia" w:eastAsia="宋体"/>
                <w:lang w:val="en-US" w:eastAsia="zh-CN"/>
              </w:rPr>
              <w:t>Remove msg4 transmission.</w:t>
            </w:r>
          </w:p>
        </w:tc>
      </w:tr>
    </w:tbl>
    <w:p>
      <w:pPr>
        <w:pStyle w:val="81"/>
        <w:spacing w:after="0"/>
        <w:rPr>
          <w:sz w:val="8"/>
          <w:szCs w:val="8"/>
        </w:rPr>
      </w:pPr>
    </w:p>
    <w:p>
      <w:pPr>
        <w:pStyle w:val="3"/>
      </w:pPr>
      <w:r>
        <w:t>8.11</w:t>
      </w:r>
      <w:r>
        <w:tab/>
      </w:r>
      <w:r>
        <w:t>Support of Network Sharing with multiple cell-ID broadcast</w:t>
      </w:r>
    </w:p>
    <w:p>
      <w:pPr>
        <w:pStyle w:val="4"/>
      </w:pPr>
      <w:r>
        <w:t>8.11.1</w:t>
      </w:r>
      <w:r>
        <w:tab/>
      </w:r>
      <w:r>
        <w:t>General</w:t>
      </w:r>
    </w:p>
    <w:p>
      <w:r>
        <w:t>This section describes necessary additions as compared to the case where network sharing with multiple cell-ID broadcast is not applied.</w:t>
      </w:r>
    </w:p>
    <w:p>
      <w:pPr>
        <w:rPr>
          <w:lang w:eastAsia="zh-CN"/>
        </w:rPr>
      </w:pPr>
      <w:bookmarkStart w:id="3" w:name="_Toc525566584"/>
      <w:r>
        <w:rPr>
          <w:lang w:eastAsia="zh-CN"/>
        </w:rPr>
        <w:t>The signalling flo</w:t>
      </w:r>
      <w:r>
        <w:rPr>
          <w:szCs w:val="24"/>
          <w:lang w:eastAsia="zh-CN"/>
        </w:rPr>
        <w:t xml:space="preserve">ws in the subsequent sections </w:t>
      </w:r>
      <w:r>
        <w:rPr>
          <w:lang w:eastAsia="zh-CN"/>
        </w:rPr>
        <w:t>assuming 2 sharing operators, A and B</w:t>
      </w:r>
      <w:r>
        <w:rPr>
          <w:rFonts w:hint="eastAsia"/>
          <w:lang w:eastAsia="zh-CN"/>
        </w:rPr>
        <w:t>.</w:t>
      </w:r>
      <w:r>
        <w:rPr>
          <w:lang w:eastAsia="zh-CN"/>
        </w:rPr>
        <w:t xml:space="preserve"> The F1-C signalling transport deployment used is indicated within the subsequent sections.</w:t>
      </w:r>
    </w:p>
    <w:p>
      <w:pPr>
        <w:pStyle w:val="4"/>
        <w:rPr>
          <w:lang w:eastAsia="zh-CN"/>
        </w:rPr>
      </w:pPr>
      <w:r>
        <w:t>8.11.2</w:t>
      </w:r>
      <w:r>
        <w:tab/>
      </w:r>
      <w:r>
        <w:t>Initial Registration</w:t>
      </w:r>
      <w:bookmarkEnd w:id="3"/>
      <w:r>
        <w:t xml:space="preserve"> – separate PLMN signalling</w:t>
      </w:r>
    </w:p>
    <w:p>
      <w:pPr>
        <w:rPr>
          <w:lang w:eastAsia="zh-CN"/>
        </w:rPr>
      </w:pPr>
      <w:r>
        <w:rPr>
          <w:lang w:eastAsia="zh-CN"/>
        </w:rPr>
        <w:t>The signalling flo</w:t>
      </w:r>
      <w:r>
        <w:rPr>
          <w:szCs w:val="24"/>
          <w:lang w:eastAsia="zh-CN"/>
        </w:rPr>
        <w:t>w for Initial Registration</w:t>
      </w:r>
      <w:r>
        <w:rPr>
          <w:rFonts w:hint="eastAsia"/>
          <w:lang w:eastAsia="zh-CN"/>
        </w:rPr>
        <w:t xml:space="preserve"> </w:t>
      </w:r>
      <w:r>
        <w:rPr>
          <w:lang w:eastAsia="zh-CN"/>
        </w:rPr>
        <w:t xml:space="preserve">for network sharing with multiple cell-ID broadcast with separate per-PLMN signalling is </w:t>
      </w:r>
      <w:r>
        <w:rPr>
          <w:rFonts w:hint="eastAsia"/>
          <w:lang w:eastAsia="zh-CN"/>
        </w:rPr>
        <w:t xml:space="preserve">shown in Figure </w:t>
      </w:r>
      <w:r>
        <w:rPr>
          <w:lang w:eastAsia="zh-CN"/>
        </w:rPr>
        <w:t>8.11.2-1</w:t>
      </w:r>
      <w:r>
        <w:rPr>
          <w:rFonts w:hint="eastAsia"/>
          <w:lang w:eastAsia="zh-CN"/>
        </w:rPr>
        <w:t>.</w:t>
      </w:r>
    </w:p>
    <w:p>
      <w:pPr>
        <w:rPr>
          <w:lang w:eastAsia="zh-CN"/>
        </w:rPr>
      </w:pPr>
      <w:r>
        <w:rPr>
          <w:lang w:eastAsia="zh-CN"/>
        </w:rPr>
        <w:t>In this example message flow</w:t>
      </w:r>
    </w:p>
    <w:p>
      <w:pPr>
        <w:pStyle w:val="75"/>
        <w:rPr>
          <w:lang w:eastAsia="zh-CN"/>
        </w:rPr>
      </w:pPr>
      <w:r>
        <w:rPr>
          <w:lang w:eastAsia="zh-CN"/>
        </w:rPr>
        <w:t>-</w:t>
      </w:r>
      <w:r>
        <w:rPr>
          <w:lang w:eastAsia="zh-CN"/>
        </w:rPr>
        <w:tab/>
      </w:r>
      <w:r>
        <w:rPr>
          <w:lang w:eastAsia="zh-CN"/>
        </w:rPr>
        <w:t>the UE is assumed to not provide an ue-Identity from which the DU is able to deduce the PLMN ID.</w:t>
      </w:r>
    </w:p>
    <w:p>
      <w:pPr>
        <w:pStyle w:val="75"/>
        <w:rPr>
          <w:ins w:id="0" w:author="GY" w:date="2019-07-18T15:37:00Z"/>
          <w:lang w:eastAsia="zh-CN"/>
        </w:rPr>
      </w:pPr>
      <w:r>
        <w:rPr>
          <w:lang w:eastAsia="zh-CN"/>
        </w:rPr>
        <w:t>-</w:t>
      </w:r>
      <w:r>
        <w:rPr>
          <w:lang w:eastAsia="zh-CN"/>
        </w:rPr>
        <w:tab/>
      </w:r>
      <w:r>
        <w:rPr>
          <w:lang w:eastAsia="zh-CN"/>
        </w:rPr>
        <w:t>each F1-C interface instance uses a separate signalling transport or share signalling transport with other F1-C interface instances.</w:t>
      </w:r>
    </w:p>
    <w:p>
      <w:pPr>
        <w:pStyle w:val="75"/>
      </w:pPr>
      <w:r>
        <w:rPr>
          <w:lang w:eastAsia="zh-CN"/>
        </w:rPr>
        <w:t>-</w:t>
      </w:r>
      <w:r>
        <w:rPr>
          <w:lang w:eastAsia="zh-CN"/>
        </w:rPr>
        <w:tab/>
      </w:r>
      <w:r>
        <w:rPr>
          <w:lang w:eastAsia="zh-CN"/>
        </w:rPr>
        <w:t>the gNB-DU</w:t>
      </w:r>
      <w:r>
        <w:rPr>
          <w:vertAlign w:val="subscript"/>
          <w:lang w:eastAsia="zh-CN"/>
        </w:rPr>
        <w:t>A/B</w:t>
      </w:r>
      <w:r>
        <w:rPr>
          <w:lang w:eastAsia="zh-CN"/>
        </w:rPr>
        <w:t xml:space="preserve"> entity shown in Figure 8.11.2-1 is a simplified representation of the gNB-DU</w:t>
      </w:r>
      <w:r>
        <w:rPr>
          <w:vertAlign w:val="subscript"/>
          <w:lang w:eastAsia="zh-CN"/>
        </w:rPr>
        <w:t>A</w:t>
      </w:r>
      <w:r>
        <w:rPr>
          <w:lang w:eastAsia="zh-CN"/>
        </w:rPr>
        <w:t xml:space="preserve"> of PLMN A, the gNB DU</w:t>
      </w:r>
      <w:r>
        <w:rPr>
          <w:vertAlign w:val="subscript"/>
          <w:lang w:eastAsia="zh-CN"/>
        </w:rPr>
        <w:t>B</w:t>
      </w:r>
      <w:r>
        <w:rPr>
          <w:lang w:eastAsia="zh-CN"/>
        </w:rPr>
        <w:t xml:space="preserve"> of PLMN B and respective </w:t>
      </w:r>
      <w:r>
        <w:t>radio resources of the shared cell.</w:t>
      </w:r>
    </w:p>
    <w:p>
      <w:pPr>
        <w:rPr>
          <w:lang w:eastAsia="zh-CN"/>
        </w:rPr>
      </w:pPr>
    </w:p>
    <w:p>
      <w:pPr>
        <w:pStyle w:val="55"/>
      </w:pPr>
      <w:ins w:id="1" w:author="lidapeng" w:date="2019-11-28T08:10:13Z"/>
      <w:ins w:id="2" w:author="lidapeng" w:date="2019-11-28T08:10:13Z"/>
      <w:ins w:id="3" w:author="lidapeng" w:date="2019-11-28T08:10:13Z"/>
      <w:ins w:id="4" w:author="lidapeng" w:date="2019-11-28T08:10:13Z">
        <w:r>
          <w:rPr/>
          <w:object>
            <v:shape id="_x0000_i1025" o:spt="75" type="#_x0000_t75" style="height:319pt;width:478.05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ins>
      <w:ins w:id="6" w:author="lidapeng" w:date="2019-11-28T08:10:13Z"/>
      <w:del w:id="7" w:author="ZTE-LiDapeng" w:date="2019-10-18T08:58:00Z"/>
      <w:del w:id="8" w:author="ZTE-LiDapeng" w:date="2019-10-18T08:58:00Z"/>
      <w:del w:id="9" w:author="ZTE-LiDapeng" w:date="2019-10-18T08:58:00Z"/>
      <w:del w:id="10" w:author="ZTE-LiDapeng" w:date="2019-10-18T08:58:00Z">
        <w:r>
          <w:rPr/>
          <w:object>
            <v:shape id="_x0000_i1026" o:spt="75" type="#_x0000_t75" style="height:195.5pt;width:467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del>
      <w:del w:id="12" w:author="ZTE-LiDapeng" w:date="2019-10-18T08:58:00Z"/>
    </w:p>
    <w:p>
      <w:pPr>
        <w:pStyle w:val="54"/>
        <w:rPr>
          <w:lang w:eastAsia="zh-CN"/>
        </w:rPr>
      </w:pPr>
      <w:r>
        <w:rPr>
          <w:lang w:eastAsia="zh-CN"/>
        </w:rPr>
        <w:t>Figure</w:t>
      </w:r>
      <w:r>
        <w:rPr>
          <w:rFonts w:hint="eastAsia"/>
          <w:lang w:eastAsia="zh-CN"/>
        </w:rPr>
        <w:t xml:space="preserve"> 8.11</w:t>
      </w:r>
      <w:r>
        <w:rPr>
          <w:lang w:eastAsia="zh-CN"/>
        </w:rPr>
        <w:t>.2-</w:t>
      </w:r>
      <w:r>
        <w:rPr>
          <w:rFonts w:hint="eastAsia"/>
          <w:lang w:eastAsia="zh-CN"/>
        </w:rPr>
        <w:t>1</w:t>
      </w:r>
      <w:r>
        <w:rPr>
          <w:lang w:eastAsia="zh-CN"/>
        </w:rPr>
        <w:t>: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r>
        <w:rPr>
          <w:lang w:eastAsia="zh-CN"/>
        </w:rPr>
        <w:t xml:space="preserve"> and</w:t>
      </w:r>
      <w:r>
        <w:t xml:space="preserve"> network sharing with multiple cell-ID broadcast</w:t>
      </w:r>
    </w:p>
    <w:p>
      <w:pPr>
        <w:pStyle w:val="56"/>
        <w:rPr>
          <w:lang w:eastAsia="zh-CN"/>
        </w:rPr>
      </w:pPr>
      <w:r>
        <w:rPr>
          <w:lang w:eastAsia="zh-CN"/>
        </w:rPr>
        <w:t>NOTE:</w:t>
      </w:r>
      <w:r>
        <w:rPr>
          <w:lang w:eastAsia="zh-CN"/>
        </w:rPr>
        <w:tab/>
      </w:r>
      <w:r>
        <w:rPr>
          <w:lang w:eastAsia="zh-CN"/>
        </w:rPr>
        <w:t>Steps 1-5 are defined in clause 8.1. Note, that the selectedPLMN-Identity is provided in step 5.</w:t>
      </w:r>
    </w:p>
    <w:p>
      <w:pPr>
        <w:pStyle w:val="76"/>
        <w:rPr>
          <w:ins w:id="13" w:author="Ericsson User_v01" w:date="2019-10-18T04:20:00Z"/>
        </w:rPr>
      </w:pPr>
      <w:r>
        <w:t>6.</w:t>
      </w:r>
      <w:r>
        <w:tab/>
      </w:r>
      <w:r>
        <w:t>The gNB-DU</w:t>
      </w:r>
      <w:r>
        <w:rPr>
          <w:vertAlign w:val="subscript"/>
        </w:rPr>
        <w:t>A</w:t>
      </w:r>
      <w:r>
        <w:t xml:space="preserve"> sends the F1AP UE CONTEXT RELEASE REQUEST message to the gNB-CU</w:t>
      </w:r>
      <w:r>
        <w:rPr>
          <w:vertAlign w:val="subscript"/>
        </w:rPr>
        <w:t>A</w:t>
      </w:r>
      <w:r>
        <w:t>. including a Cause set to “PLMN not served by the CU”.</w:t>
      </w:r>
    </w:p>
    <w:p>
      <w:pPr>
        <w:pStyle w:val="76"/>
      </w:pPr>
      <w:r>
        <w:t>7.</w:t>
      </w:r>
      <w:r>
        <w:tab/>
      </w:r>
      <w:r>
        <w:t>The gNB-DU</w:t>
      </w:r>
      <w:r>
        <w:rPr>
          <w:vertAlign w:val="subscript"/>
        </w:rPr>
        <w:t>B</w:t>
      </w:r>
      <w:r>
        <w:t xml:space="preserve"> sends the F1AP INITIAL UL RRC MESSAGE to the gNB-CU</w:t>
      </w:r>
      <w:r>
        <w:rPr>
          <w:vertAlign w:val="subscript"/>
        </w:rPr>
        <w:t>B</w:t>
      </w:r>
      <w:r>
        <w:t xml:space="preserve"> including the NR CGI associated with PLMN</w:t>
      </w:r>
      <w:r>
        <w:rPr>
          <w:vertAlign w:val="subscript"/>
        </w:rPr>
        <w:t>B</w:t>
      </w:r>
      <w:r>
        <w:t>, the C-RNTI indicated by the gNB-DU</w:t>
      </w:r>
      <w:r>
        <w:rPr>
          <w:vertAlign w:val="subscript"/>
        </w:rPr>
        <w:t>A</w:t>
      </w:r>
      <w:r>
        <w:t xml:space="preserve"> at step 2, and the RRC-Container </w:t>
      </w:r>
      <w:ins w:id="14" w:author="Ericsson User " w:date="2019-11-08T13:28:00Z">
        <w:r>
          <w:rPr/>
          <w:t xml:space="preserve"> IE</w:t>
        </w:r>
      </w:ins>
      <w:ins w:id="15" w:author="ZTE-LiDapeng" w:date="2019-11-21T15:42:29Z">
        <w:r>
          <w:rPr>
            <w:rFonts w:hint="eastAsia" w:eastAsia="宋体"/>
            <w:lang w:val="en-US" w:eastAsia="zh-CN"/>
          </w:rPr>
          <w:t xml:space="preserve"> </w:t>
        </w:r>
      </w:ins>
      <w:ins w:id="16" w:author="Ericsson User " w:date="2019-11-08T13:28:00Z">
        <w:r>
          <w:rPr>
            <w:lang w:eastAsia="ja-JP"/>
          </w:rPr>
          <w:t xml:space="preserve">and the </w:t>
        </w:r>
      </w:ins>
      <w:ins w:id="17" w:author="Ericsson User " w:date="2019-11-08T13:28:00Z">
        <w:r>
          <w:rPr>
            <w:i/>
            <w:lang w:eastAsia="ja-JP"/>
          </w:rPr>
          <w:t>RRC-Container</w:t>
        </w:r>
      </w:ins>
      <w:ins w:id="18" w:author="Ericsson User " w:date="2019-11-08T13:28:00Z">
        <w:r>
          <w:rPr>
            <w:i/>
            <w:lang w:val="en-US" w:eastAsia="ja-JP"/>
          </w:rPr>
          <w:t>-RRCSetupComplete</w:t>
        </w:r>
      </w:ins>
      <w:ins w:id="19" w:author="Ericsson User " w:date="2019-11-08T13:28:00Z">
        <w:r>
          <w:rPr>
            <w:rFonts w:hint="eastAsia"/>
            <w:i/>
            <w:lang w:val="en-US" w:eastAsia="zh-CN"/>
          </w:rPr>
          <w:t xml:space="preserve"> </w:t>
        </w:r>
      </w:ins>
      <w:ins w:id="20" w:author="Ericsson User " w:date="2019-11-08T13:28:00Z">
        <w:r>
          <w:rPr>
            <w:lang w:eastAsia="ja-JP"/>
          </w:rPr>
          <w:t>IE</w:t>
        </w:r>
      </w:ins>
      <w:r>
        <w:rPr>
          <w:rFonts w:hint="eastAsia" w:eastAsia="宋体"/>
          <w:lang w:val="en-US" w:eastAsia="zh-CN"/>
        </w:rPr>
        <w:t xml:space="preserve"> </w:t>
      </w:r>
      <w:r>
        <w:t>with the RRC message received</w:t>
      </w:r>
      <w:r>
        <w:rPr>
          <w:rFonts w:hint="eastAsia" w:eastAsia="宋体"/>
          <w:lang w:val="en-US" w:eastAsia="zh-CN"/>
        </w:rPr>
        <w:t xml:space="preserve"> </w:t>
      </w:r>
      <w:r>
        <w:t>in</w:t>
      </w:r>
      <w:ins w:id="21" w:author="GY" w:date="2019-07-18T15:38:00Z">
        <w:r>
          <w:rPr>
            <w:rFonts w:hint="eastAsia" w:eastAsia="宋体"/>
            <w:lang w:val="en-US" w:eastAsia="zh-CN"/>
          </w:rPr>
          <w:t xml:space="preserve"> </w:t>
        </w:r>
      </w:ins>
      <w:ins w:id="22" w:author="Ericsson User_v01" w:date="2019-10-18T04:19:00Z">
        <w:r>
          <w:rPr>
            <w:rFonts w:eastAsia="宋体"/>
            <w:lang w:val="en-US" w:eastAsia="zh-CN"/>
          </w:rPr>
          <w:t>step1</w:t>
        </w:r>
      </w:ins>
      <w:r>
        <w:rPr>
          <w:rFonts w:hint="eastAsia" w:eastAsia="宋体"/>
          <w:lang w:val="en-US" w:eastAsia="zh-CN"/>
        </w:rPr>
        <w:t xml:space="preserve"> </w:t>
      </w:r>
      <w:ins w:id="23" w:author="GY" w:date="2019-07-18T15:38:00Z">
        <w:r>
          <w:rPr>
            <w:rFonts w:hint="eastAsia" w:eastAsia="宋体"/>
            <w:lang w:val="en-US" w:eastAsia="zh-CN"/>
          </w:rPr>
          <w:t>and</w:t>
        </w:r>
      </w:ins>
      <w:r>
        <w:t xml:space="preserve"> step 5</w:t>
      </w:r>
      <w:r>
        <w:rPr>
          <w:rFonts w:hint="eastAsia" w:eastAsia="宋体"/>
          <w:lang w:val="en-US" w:eastAsia="zh-CN"/>
        </w:rPr>
        <w:t xml:space="preserve"> </w:t>
      </w:r>
      <w:ins w:id="24" w:author="Ericsson User " w:date="2019-11-08T13:29:00Z">
        <w:r>
          <w:rPr/>
          <w:t xml:space="preserve"> respective</w:t>
        </w:r>
      </w:ins>
      <w:ins w:id="25" w:author="Ericsson User " w:date="2019-11-08T13:30:00Z">
        <w:r>
          <w:rPr/>
          <w:t>ly</w:t>
        </w:r>
      </w:ins>
      <w:r>
        <w:t>.</w:t>
      </w:r>
      <w:ins w:id="26" w:author="Ericsson User " w:date="2019-11-08T13:30:00Z">
        <w:r>
          <w:rPr/>
          <w:t xml:space="preserve"> </w:t>
        </w:r>
      </w:ins>
      <w:ins w:id="27" w:author="Ericsson User " w:date="2019-11-08T13:30:00Z">
        <w:r>
          <w:rPr>
            <w:lang w:eastAsia="ja-JP"/>
          </w:rPr>
          <w:t xml:space="preserve">The </w:t>
        </w:r>
      </w:ins>
      <w:ins w:id="28" w:author="Ericsson User " w:date="2019-11-08T13:30:00Z">
        <w:r>
          <w:rPr>
            <w:i/>
            <w:lang w:eastAsia="ja-JP"/>
          </w:rPr>
          <w:t>RRC-Container</w:t>
        </w:r>
      </w:ins>
      <w:ins w:id="29" w:author="Ericsson User " w:date="2019-11-08T13:30:00Z">
        <w:r>
          <w:rPr>
            <w:i/>
            <w:lang w:val="en-US" w:eastAsia="ja-JP"/>
          </w:rPr>
          <w:t>-RRCSetupComplete</w:t>
        </w:r>
      </w:ins>
      <w:ins w:id="30" w:author="Ericsson User " w:date="2019-11-08T13:30:00Z">
        <w:r>
          <w:rPr>
            <w:rFonts w:hint="eastAsia"/>
            <w:i/>
            <w:lang w:val="en-US" w:eastAsia="zh-CN"/>
          </w:rPr>
          <w:t xml:space="preserve"> </w:t>
        </w:r>
      </w:ins>
      <w:ins w:id="31" w:author="Ericsson User " w:date="2019-11-08T13:30:00Z">
        <w:r>
          <w:rPr>
            <w:lang w:eastAsia="ja-JP"/>
          </w:rPr>
          <w:t xml:space="preserve">IE are included in the INITIAL UL RRC MESSAGE TRANSFER for the case of </w:t>
        </w:r>
      </w:ins>
      <w:ins w:id="32" w:author="GY" w:date="2019-11-23T02:28:54Z">
        <w:r>
          <w:rPr>
            <w:rFonts w:hint="eastAsia" w:eastAsia="宋体"/>
            <w:lang w:val="en-US" w:eastAsia="zh-CN"/>
          </w:rPr>
          <w:t>n</w:t>
        </w:r>
      </w:ins>
      <w:ins w:id="33" w:author="Ericsson User " w:date="2019-11-08T13:30:00Z">
        <w:r>
          <w:rPr>
            <w:lang w:eastAsia="ja-JP"/>
          </w:rPr>
          <w:t xml:space="preserve">etwork sharing and </w:t>
        </w:r>
      </w:ins>
      <w:ins w:id="34" w:author="Ericsson User " w:date="2019-11-08T13:30:00Z">
        <w:r>
          <w:rPr/>
          <w:t xml:space="preserve">shall contain the RRC messages </w:t>
        </w:r>
      </w:ins>
      <w:ins w:id="35" w:author="ZTE-LiDapeng" w:date="2019-11-21T15:44:02Z">
        <w:r>
          <w:rPr>
            <w:rFonts w:hint="eastAsia" w:eastAsia="宋体"/>
            <w:lang w:val="en-US" w:eastAsia="zh-CN"/>
          </w:rPr>
          <w:t>received</w:t>
        </w:r>
      </w:ins>
      <w:ins w:id="36" w:author="Ericsson User " w:date="2019-11-08T13:30:00Z">
        <w:r>
          <w:rPr/>
          <w:t xml:space="preserve"> via the </w:t>
        </w:r>
      </w:ins>
      <w:ins w:id="37" w:author="Ericsson User " w:date="2019-11-08T13:30:00Z">
        <w:r>
          <w:rPr>
            <w:i w:val="0"/>
            <w:iCs/>
            <w:sz w:val="21"/>
            <w:szCs w:val="22"/>
            <w:lang w:eastAsia="ja-JP"/>
          </w:rPr>
          <w:t>RRC</w:t>
        </w:r>
      </w:ins>
      <w:ins w:id="38" w:author="Ericsson User " w:date="2019-11-08T13:30:00Z">
        <w:r>
          <w:rPr>
            <w:i/>
            <w:sz w:val="21"/>
            <w:szCs w:val="22"/>
            <w:lang w:eastAsia="ja-JP"/>
          </w:rPr>
          <w:t xml:space="preserve"> </w:t>
        </w:r>
      </w:ins>
      <w:ins w:id="39" w:author="Ericsson User " w:date="2019-11-08T13:30:00Z">
        <w:r>
          <w:rPr>
            <w:rFonts w:ascii="Times New Roman" w:hAnsi="Times New Roman"/>
            <w:i/>
            <w:iCs w:val="0"/>
            <w:sz w:val="21"/>
            <w:szCs w:val="22"/>
            <w:lang w:eastAsia="ja-JP"/>
          </w:rPr>
          <w:t>UL-</w:t>
        </w:r>
      </w:ins>
      <w:ins w:id="40" w:author="ZTE-LiDapeng" w:date="2019-11-21T15:40:53Z">
        <w:r>
          <w:rPr>
            <w:rFonts w:hint="default" w:ascii="Times New Roman" w:hAnsi="Times New Roman" w:eastAsia="Times New Roman"/>
            <w:i/>
            <w:iCs w:val="0"/>
            <w:sz w:val="21"/>
            <w:szCs w:val="22"/>
            <w:lang w:val="en-US" w:eastAsia="ja-JP"/>
          </w:rPr>
          <w:t>D</w:t>
        </w:r>
      </w:ins>
      <w:ins w:id="41" w:author="Ericsson User " w:date="2019-11-08T13:30:00Z">
        <w:r>
          <w:rPr>
            <w:rFonts w:ascii="Times New Roman" w:hAnsi="Times New Roman"/>
            <w:i/>
            <w:iCs w:val="0"/>
            <w:sz w:val="21"/>
            <w:szCs w:val="22"/>
            <w:lang w:eastAsia="ja-JP"/>
          </w:rPr>
          <w:t>CCH-Message</w:t>
        </w:r>
      </w:ins>
      <w:ins w:id="42" w:author="Ericsson User " w:date="2019-11-08T13:30:00Z">
        <w:r>
          <w:rPr>
            <w:rFonts w:ascii="Arial" w:hAnsi="Arial"/>
            <w:sz w:val="18"/>
          </w:rPr>
          <w:t xml:space="preserve"> </w:t>
        </w:r>
      </w:ins>
      <w:ins w:id="43" w:author="Ericsson User " w:date="2019-11-08T13:30:00Z">
        <w:r>
          <w:rPr>
            <w:rFonts w:ascii="Times New Roman" w:hAnsi="Times New Roman"/>
            <w:sz w:val="21"/>
            <w:szCs w:val="22"/>
          </w:rPr>
          <w:t>IE</w:t>
        </w:r>
      </w:ins>
      <w:ins w:id="44" w:author="ZTE-LiDapeng" w:date="2019-11-21T15:44:24Z">
        <w:r>
          <w:rPr>
            <w:rFonts w:hint="default" w:ascii="Times New Roman" w:hAnsi="Times New Roman" w:eastAsia="Times New Roman"/>
            <w:sz w:val="21"/>
            <w:szCs w:val="22"/>
            <w:lang w:val="en-US" w:eastAsia="zh-CN"/>
          </w:rPr>
          <w:t xml:space="preserve"> </w:t>
        </w:r>
      </w:ins>
      <w:ins w:id="45" w:author="ZTE-LiDapeng" w:date="2019-11-21T15:44:21Z">
        <w:r>
          <w:rPr>
            <w:rFonts w:hint="default" w:ascii="Times New Roman" w:hAnsi="Times New Roman" w:eastAsia="Times New Roman"/>
            <w:sz w:val="21"/>
            <w:szCs w:val="22"/>
            <w:lang w:val="en-US" w:eastAsia="zh-CN"/>
          </w:rPr>
          <w:t>from</w:t>
        </w:r>
      </w:ins>
      <w:ins w:id="46" w:author="Ericsson User " w:date="2019-11-08T13:30:00Z">
        <w:r>
          <w:rPr>
            <w:sz w:val="21"/>
            <w:szCs w:val="22"/>
          </w:rPr>
          <w:t xml:space="preserve"> the UE</w:t>
        </w:r>
      </w:ins>
      <w:ins w:id="47" w:author="Ericsson User " w:date="2019-11-08T13:30:00Z">
        <w:r>
          <w:rPr/>
          <w:t>, but never previously sent to the gNB-CU</w:t>
        </w:r>
      </w:ins>
      <w:ins w:id="48" w:author="Ericsson User " w:date="2019-11-08T13:30:00Z">
        <w:r>
          <w:rPr>
            <w:vertAlign w:val="subscript"/>
          </w:rPr>
          <w:t>B</w:t>
        </w:r>
      </w:ins>
      <w:r>
        <w:t xml:space="preserve">. </w:t>
      </w:r>
    </w:p>
    <w:p>
      <w:pPr>
        <w:pStyle w:val="76"/>
      </w:pPr>
      <w:r>
        <w:t>8. The gNB-CU</w:t>
      </w:r>
      <w:r>
        <w:rPr>
          <w:vertAlign w:val="subscript"/>
        </w:rPr>
        <w:t>A</w:t>
      </w:r>
      <w:r>
        <w:t xml:space="preserve"> triggers the F1AP UE Context Release procedure. </w:t>
      </w:r>
    </w:p>
    <w:p>
      <w:pPr>
        <w:pStyle w:val="56"/>
        <w:rPr>
          <w:ins w:id="49" w:author="GY" w:date="2019-07-18T15:37:00Z"/>
          <w:rFonts w:eastAsia="宋体"/>
          <w:lang w:val="en-US" w:eastAsia="zh-CN"/>
        </w:rPr>
      </w:pPr>
      <w:r>
        <w:t>NOTE: Initiating procedures from gNB-DU</w:t>
      </w:r>
      <w:r>
        <w:rPr>
          <w:vertAlign w:val="subscript"/>
        </w:rPr>
        <w:t>A</w:t>
      </w:r>
      <w:r>
        <w:t xml:space="preserve"> towards gNB-CU</w:t>
      </w:r>
      <w:r>
        <w:rPr>
          <w:vertAlign w:val="subscript"/>
        </w:rPr>
        <w:t>A</w:t>
      </w:r>
      <w:r>
        <w:t xml:space="preserve"> and from gNB-DU</w:t>
      </w:r>
      <w:r>
        <w:rPr>
          <w:vertAlign w:val="subscript"/>
        </w:rPr>
        <w:t>B</w:t>
      </w:r>
      <w:r>
        <w:t xml:space="preserve"> to gNB-CU</w:t>
      </w:r>
      <w:r>
        <w:rPr>
          <w:vertAlign w:val="subscript"/>
        </w:rPr>
        <w:t>B</w:t>
      </w:r>
      <w:r>
        <w:t xml:space="preserve"> in parallel is not precluded.</w:t>
      </w:r>
    </w:p>
    <w:p>
      <w:pPr>
        <w:pStyle w:val="4"/>
        <w:rPr>
          <w:lang w:eastAsia="zh-CN"/>
        </w:rPr>
      </w:pPr>
      <w:r>
        <w:t>8.</w:t>
      </w:r>
      <w:r>
        <w:rPr>
          <w:rFonts w:hint="eastAsia" w:eastAsia="宋体"/>
          <w:lang w:val="en-US" w:eastAsia="zh-CN"/>
        </w:rPr>
        <w:t>11</w:t>
      </w:r>
      <w:r>
        <w:t>.3</w:t>
      </w:r>
      <w:r>
        <w:tab/>
      </w:r>
      <w:r>
        <w:t xml:space="preserve">RRC Connection Reestablishment – separate PLMN signalling </w:t>
      </w:r>
    </w:p>
    <w:p>
      <w:pPr>
        <w:rPr>
          <w:lang w:eastAsia="zh-CN"/>
        </w:rPr>
      </w:pPr>
      <w:r>
        <w:rPr>
          <w:lang w:eastAsia="zh-CN"/>
        </w:rPr>
        <w:t>The signalling flo</w:t>
      </w:r>
      <w:r>
        <w:rPr>
          <w:szCs w:val="24"/>
          <w:lang w:eastAsia="zh-CN"/>
        </w:rPr>
        <w:t>w for RRC Connection Reestablishment</w:t>
      </w:r>
      <w:r>
        <w:rPr>
          <w:rFonts w:hint="eastAsia"/>
          <w:lang w:eastAsia="zh-CN"/>
        </w:rPr>
        <w:t xml:space="preserve"> </w:t>
      </w:r>
      <w:r>
        <w:rPr>
          <w:lang w:eastAsia="zh-CN"/>
        </w:rPr>
        <w:t xml:space="preserve">for network sharing with multiple cell-ID broadcast with separate per-PLMN signalling is </w:t>
      </w:r>
      <w:r>
        <w:rPr>
          <w:rFonts w:hint="eastAsia"/>
          <w:lang w:eastAsia="zh-CN"/>
        </w:rPr>
        <w:t xml:space="preserve">shown in Figure </w:t>
      </w:r>
      <w:r>
        <w:rPr>
          <w:lang w:eastAsia="zh-CN"/>
        </w:rPr>
        <w:t>8.</w:t>
      </w:r>
      <w:r>
        <w:rPr>
          <w:rFonts w:hint="eastAsia"/>
          <w:lang w:val="en-US" w:eastAsia="zh-CN"/>
        </w:rPr>
        <w:t>11</w:t>
      </w:r>
      <w:r>
        <w:rPr>
          <w:lang w:eastAsia="zh-CN"/>
        </w:rPr>
        <w:t>.3-1</w:t>
      </w:r>
      <w:r>
        <w:rPr>
          <w:rFonts w:hint="eastAsia"/>
          <w:lang w:eastAsia="zh-CN"/>
        </w:rPr>
        <w:t>.</w:t>
      </w:r>
    </w:p>
    <w:p>
      <w:pPr>
        <w:rPr>
          <w:lang w:eastAsia="zh-CN"/>
        </w:rPr>
      </w:pPr>
      <w:r>
        <w:rPr>
          <w:lang w:eastAsia="zh-CN"/>
        </w:rPr>
        <w:t>In this example message flow</w:t>
      </w:r>
    </w:p>
    <w:p>
      <w:pPr>
        <w:pStyle w:val="75"/>
        <w:rPr>
          <w:lang w:eastAsia="zh-CN"/>
        </w:rPr>
      </w:pPr>
      <w:r>
        <w:rPr>
          <w:lang w:eastAsia="zh-CN"/>
        </w:rPr>
        <w:t>-</w:t>
      </w:r>
      <w:r>
        <w:rPr>
          <w:lang w:eastAsia="zh-CN"/>
        </w:rPr>
        <w:tab/>
      </w:r>
      <w:r>
        <w:rPr>
          <w:lang w:eastAsia="zh-CN"/>
        </w:rPr>
        <w:t xml:space="preserve">each F1-C/Xn-C interface instance uses either a separate signalling transport or </w:t>
      </w:r>
      <w:ins w:id="50" w:author="GY" w:date="2019-07-01T14:40:00Z">
        <w:r>
          <w:rPr>
            <w:rFonts w:hint="eastAsia"/>
            <w:lang w:val="en-US" w:eastAsia="zh-CN"/>
          </w:rPr>
          <w:t xml:space="preserve">a </w:t>
        </w:r>
      </w:ins>
      <w:r>
        <w:rPr>
          <w:lang w:eastAsia="zh-CN"/>
        </w:rPr>
        <w:t>share signalling transport with other interface instances.</w:t>
      </w:r>
    </w:p>
    <w:p>
      <w:pPr>
        <w:pStyle w:val="55"/>
      </w:pPr>
      <w:r>
        <w:rPr>
          <w:rFonts w:ascii="Times New Roman" w:hAnsi="Times New Roman"/>
          <w:b w:val="0"/>
          <w:sz w:val="21"/>
          <w:szCs w:val="22"/>
          <w:lang w:eastAsia="zh-CN"/>
        </w:rPr>
        <w:t>-</w:t>
      </w:r>
      <w:r>
        <w:rPr>
          <w:rFonts w:ascii="Times New Roman" w:hAnsi="Times New Roman"/>
          <w:b w:val="0"/>
          <w:sz w:val="21"/>
          <w:szCs w:val="22"/>
          <w:lang w:eastAsia="zh-CN"/>
        </w:rPr>
        <w:tab/>
      </w:r>
      <w:r>
        <w:rPr>
          <w:rFonts w:ascii="Times New Roman" w:hAnsi="Times New Roman"/>
          <w:b w:val="0"/>
          <w:sz w:val="21"/>
          <w:szCs w:val="22"/>
          <w:lang w:eastAsia="zh-CN"/>
        </w:rPr>
        <w:t>the New gNB-DU</w:t>
      </w:r>
      <w:r>
        <w:rPr>
          <w:rFonts w:ascii="Times New Roman" w:hAnsi="Times New Roman"/>
          <w:b w:val="0"/>
          <w:sz w:val="21"/>
          <w:szCs w:val="22"/>
          <w:vertAlign w:val="subscript"/>
          <w:lang w:eastAsia="zh-CN"/>
        </w:rPr>
        <w:t>A</w:t>
      </w:r>
      <w:r>
        <w:rPr>
          <w:rFonts w:ascii="Times New Roman" w:hAnsi="Times New Roman"/>
          <w:b w:val="0"/>
          <w:sz w:val="21"/>
          <w:szCs w:val="22"/>
          <w:lang w:eastAsia="zh-CN"/>
        </w:rPr>
        <w:t>/</w:t>
      </w:r>
      <w:r>
        <w:rPr>
          <w:rFonts w:ascii="Times New Roman" w:hAnsi="Times New Roman"/>
          <w:b w:val="0"/>
          <w:sz w:val="21"/>
          <w:szCs w:val="22"/>
          <w:vertAlign w:val="subscript"/>
          <w:lang w:eastAsia="zh-CN"/>
        </w:rPr>
        <w:t>B</w:t>
      </w:r>
      <w:r>
        <w:rPr>
          <w:rFonts w:ascii="Times New Roman" w:hAnsi="Times New Roman"/>
          <w:b w:val="0"/>
          <w:sz w:val="21"/>
          <w:szCs w:val="22"/>
          <w:lang w:eastAsia="zh-CN"/>
        </w:rPr>
        <w:t xml:space="preserve"> entity shown in Figure 8.</w:t>
      </w:r>
      <w:r>
        <w:rPr>
          <w:rFonts w:hint="eastAsia" w:ascii="Times New Roman" w:hAnsi="Times New Roman"/>
          <w:b w:val="0"/>
          <w:sz w:val="21"/>
          <w:szCs w:val="22"/>
          <w:lang w:val="en-US" w:eastAsia="zh-CN"/>
        </w:rPr>
        <w:t>11</w:t>
      </w:r>
      <w:r>
        <w:rPr>
          <w:rFonts w:ascii="Times New Roman" w:hAnsi="Times New Roman"/>
          <w:b w:val="0"/>
          <w:sz w:val="21"/>
          <w:szCs w:val="22"/>
          <w:lang w:eastAsia="zh-CN"/>
        </w:rPr>
        <w:t>.3-1 is a simplified representation of the New gNB-DU</w:t>
      </w:r>
      <w:r>
        <w:rPr>
          <w:rFonts w:ascii="Times New Roman" w:hAnsi="Times New Roman"/>
          <w:b w:val="0"/>
          <w:sz w:val="21"/>
          <w:szCs w:val="22"/>
          <w:vertAlign w:val="subscript"/>
          <w:lang w:eastAsia="zh-CN"/>
        </w:rPr>
        <w:t>A</w:t>
      </w:r>
      <w:r>
        <w:rPr>
          <w:rFonts w:ascii="Times New Roman" w:hAnsi="Times New Roman"/>
          <w:b w:val="0"/>
          <w:sz w:val="21"/>
          <w:szCs w:val="22"/>
          <w:lang w:eastAsia="zh-CN"/>
        </w:rPr>
        <w:t xml:space="preserve"> of PLMN A, the New gNB DU</w:t>
      </w:r>
      <w:r>
        <w:rPr>
          <w:rFonts w:ascii="Times New Roman" w:hAnsi="Times New Roman"/>
          <w:b w:val="0"/>
          <w:sz w:val="21"/>
          <w:szCs w:val="22"/>
          <w:vertAlign w:val="subscript"/>
          <w:lang w:eastAsia="zh-CN"/>
        </w:rPr>
        <w:t>B</w:t>
      </w:r>
      <w:r>
        <w:rPr>
          <w:rFonts w:ascii="Times New Roman" w:hAnsi="Times New Roman"/>
          <w:b w:val="0"/>
          <w:sz w:val="21"/>
          <w:szCs w:val="22"/>
          <w:lang w:eastAsia="zh-CN"/>
        </w:rPr>
        <w:t xml:space="preserve"> of PLMN B and respective radio resources of the shared</w:t>
      </w:r>
      <w:r>
        <w:rPr>
          <w:rFonts w:hint="eastAsia" w:ascii="Times New Roman" w:hAnsi="Times New Roman" w:eastAsiaTheme="minorEastAsia"/>
          <w:b w:val="0"/>
          <w:sz w:val="21"/>
          <w:szCs w:val="22"/>
          <w:lang w:eastAsia="zh-CN"/>
        </w:rPr>
        <w:t xml:space="preserve"> </w:t>
      </w:r>
      <w:r>
        <w:rPr>
          <w:rFonts w:ascii="Times New Roman" w:hAnsi="Times New Roman"/>
          <w:b w:val="0"/>
          <w:sz w:val="21"/>
          <w:szCs w:val="22"/>
          <w:lang w:eastAsia="zh-CN"/>
        </w:rPr>
        <w:t>cell.</w:t>
      </w:r>
      <w:ins w:id="51" w:author="ZTE-LiDapeng" w:date="2019-11-28T15:09:30Z"/>
      <w:ins w:id="52" w:author="ZTE-LiDapeng" w:date="2019-11-28T15:09:30Z"/>
      <w:ins w:id="53" w:author="ZTE-LiDapeng" w:date="2019-11-28T15:09:30Z"/>
      <w:ins w:id="54" w:author="ZTE-LiDapeng" w:date="2019-11-28T15:09:30Z">
        <w:r>
          <w:rPr/>
          <w:object>
            <v:shape id="_x0000_i1027" o:spt="75" type="#_x0000_t75" style="height:319pt;width:478.05pt;" o:ole="t" filled="f" o:preferrelative="t" stroked="f" coordsize="21600,21600">
              <v:path/>
              <v:fill on="f" focussize="0,0"/>
              <v:stroke on="f"/>
              <v:imagedata r:id="rId12" o:title=""/>
              <o:lock v:ext="edit" aspectratio="t"/>
              <w10:wrap type="none"/>
              <w10:anchorlock/>
            </v:shape>
            <o:OLEObject Type="Embed" ProgID="Visio.Drawing.11" ShapeID="_x0000_i1027" DrawAspect="Content" ObjectID="_1468075727" r:id="rId11">
              <o:LockedField>false</o:LockedField>
            </o:OLEObject>
          </w:object>
        </w:r>
      </w:ins>
      <w:ins w:id="56" w:author="ZTE-LiDapeng" w:date="2019-11-28T15:09:30Z"/>
      <w:del w:id="57" w:author="ZTE-LiDapeng" w:date="2019-11-28T15:09:30Z"/>
      <w:del w:id="58" w:author="ZTE-LiDapeng" w:date="2019-11-28T15:09:30Z"/>
      <w:del w:id="59" w:author="ZTE-LiDapeng" w:date="2019-11-28T15:09:30Z"/>
      <w:del w:id="60" w:author="ZTE-LiDapeng" w:date="2019-11-28T15:09:30Z">
        <w:r>
          <w:rPr/>
          <w:object>
            <v:shape id="_x0000_i1028" o:spt="75" type="#_x0000_t75" style="height:212.5pt;width:479.5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o:LockedField>false</o:LockedField>
            </o:OLEObject>
          </w:object>
        </w:r>
      </w:del>
      <w:del w:id="62" w:author="ZTE-LiDapeng" w:date="2019-11-28T15:09:30Z"/>
    </w:p>
    <w:p>
      <w:pPr>
        <w:pStyle w:val="55"/>
        <w:rPr>
          <w:lang w:eastAsia="zh-CN"/>
        </w:rPr>
      </w:pPr>
      <w:r>
        <w:rPr>
          <w:lang w:eastAsia="zh-CN"/>
        </w:rPr>
        <w:t>Figure</w:t>
      </w:r>
      <w:r>
        <w:rPr>
          <w:rFonts w:hint="eastAsia"/>
          <w:lang w:eastAsia="zh-CN"/>
        </w:rPr>
        <w:t xml:space="preserve"> 8.</w:t>
      </w:r>
      <w:r>
        <w:rPr>
          <w:rFonts w:hint="eastAsia"/>
          <w:lang w:val="en-US" w:eastAsia="zh-CN"/>
        </w:rPr>
        <w:t>11</w:t>
      </w:r>
      <w:r>
        <w:rPr>
          <w:lang w:eastAsia="zh-CN"/>
        </w:rPr>
        <w:t>.3-</w:t>
      </w:r>
      <w:r>
        <w:rPr>
          <w:rFonts w:hint="eastAsia"/>
          <w:lang w:eastAsia="zh-CN"/>
        </w:rPr>
        <w:t>1</w:t>
      </w:r>
      <w:r>
        <w:rPr>
          <w:lang w:eastAsia="zh-CN"/>
        </w:rPr>
        <w:t>: RRC Connection Reestablishment</w:t>
      </w:r>
      <w:r>
        <w:rPr>
          <w:rFonts w:hint="eastAsia"/>
          <w:lang w:eastAsia="zh-CN"/>
        </w:rPr>
        <w:t xml:space="preserve"> </w:t>
      </w:r>
      <w:r>
        <w:rPr>
          <w:lang w:eastAsia="zh-CN"/>
        </w:rPr>
        <w:t>and</w:t>
      </w:r>
      <w:r>
        <w:t xml:space="preserve"> network sharing with multiple cell-ID broadcast</w:t>
      </w:r>
    </w:p>
    <w:p>
      <w:pPr>
        <w:pStyle w:val="75"/>
      </w:pPr>
      <w:r>
        <w:t>1.</w:t>
      </w:r>
      <w:r>
        <w:tab/>
      </w:r>
      <w:r>
        <w:t>The UE sends the RRCReestablishmentRequest.</w:t>
      </w:r>
    </w:p>
    <w:p>
      <w:pPr>
        <w:pStyle w:val="76"/>
      </w:pPr>
      <w:r>
        <w:t>2A-5A.</w:t>
      </w:r>
      <w:r>
        <w:tab/>
      </w:r>
      <w:r>
        <w:t>Depicts the case where the UE context could not be retrieved by the new gNB-CU</w:t>
      </w:r>
      <w:r>
        <w:rPr>
          <w:vertAlign w:val="subscript"/>
        </w:rPr>
        <w:t>A</w:t>
      </w:r>
      <w:r>
        <w:t>. In step 2A, the NR CGI associated to PLMN</w:t>
      </w:r>
      <w:r>
        <w:rPr>
          <w:vertAlign w:val="subscript"/>
        </w:rPr>
        <w:t>A</w:t>
      </w:r>
      <w:r>
        <w:t xml:space="preserve"> is indicated. In step 5A, the gNB-CU</w:t>
      </w:r>
      <w:r>
        <w:rPr>
          <w:vertAlign w:val="subscript"/>
        </w:rPr>
        <w:t>A</w:t>
      </w:r>
      <w:r>
        <w:t xml:space="preserve"> would prepare the possibility to revert back to normal RRC Connection Establishment, indicating that the UE Context was not retrievable and may include the re-directed RRC message</w:t>
      </w:r>
      <w:ins w:id="63" w:author="GY" w:date="2019-07-01T14:42:00Z">
        <w:r>
          <w:rPr>
            <w:rFonts w:hint="eastAsia" w:eastAsia="宋体"/>
            <w:lang w:val="en-US" w:eastAsia="zh-CN"/>
          </w:rPr>
          <w:t xml:space="preserve"> </w:t>
        </w:r>
      </w:ins>
      <w:r>
        <w:t>as received in step 1</w:t>
      </w:r>
      <w:ins w:id="64" w:author="GY" w:date="2019-07-01T15:12:00Z">
        <w:r>
          <w:rPr>
            <w:rFonts w:hint="eastAsia" w:eastAsia="宋体"/>
            <w:lang w:val="en-US" w:eastAsia="zh-CN"/>
          </w:rPr>
          <w:t xml:space="preserve">. After </w:t>
        </w:r>
      </w:ins>
      <w:ins w:id="65" w:author="GY" w:date="2019-07-01T15:13:00Z">
        <w:r>
          <w:rPr>
            <w:rFonts w:hint="eastAsia" w:eastAsia="宋体"/>
            <w:lang w:val="en-US" w:eastAsia="zh-CN"/>
          </w:rPr>
          <w:t>step 5A</w:t>
        </w:r>
      </w:ins>
      <w:ins w:id="66" w:author="GY" w:date="2019-07-01T15:11:00Z">
        <w:r>
          <w:rPr>
            <w:rFonts w:hint="eastAsia" w:eastAsia="宋体"/>
            <w:lang w:val="en-US" w:eastAsia="zh-CN"/>
          </w:rPr>
          <w:t>, the gNB-DU</w:t>
        </w:r>
      </w:ins>
      <w:ins w:id="67" w:author="GY" w:date="2019-07-01T15:12:00Z">
        <w:r>
          <w:rPr>
            <w:vertAlign w:val="subscript"/>
          </w:rPr>
          <w:t>A</w:t>
        </w:r>
      </w:ins>
      <w:ins w:id="68" w:author="GY" w:date="2019-07-01T15:12:00Z">
        <w:r>
          <w:rPr>
            <w:rFonts w:hint="eastAsia" w:eastAsia="宋体"/>
            <w:vertAlign w:val="subscript"/>
            <w:lang w:val="en-US" w:eastAsia="zh-CN"/>
          </w:rPr>
          <w:t xml:space="preserve"> </w:t>
        </w:r>
      </w:ins>
      <w:ins w:id="69" w:author="GY" w:date="2019-07-01T15:12:00Z">
        <w:r>
          <w:rPr>
            <w:rFonts w:hint="eastAsia" w:eastAsia="宋体"/>
            <w:lang w:val="en-US" w:eastAsia="zh-CN"/>
          </w:rPr>
          <w:t>may redirect the UE</w:t>
        </w:r>
      </w:ins>
      <w:ins w:id="70" w:author="GY" w:date="2019-07-01T14:42:00Z">
        <w:r>
          <w:rPr>
            <w:rFonts w:hint="eastAsia" w:eastAsia="宋体"/>
            <w:lang w:val="en-US" w:eastAsia="zh-CN"/>
          </w:rPr>
          <w:t xml:space="preserve"> </w:t>
        </w:r>
      </w:ins>
      <w:ins w:id="71" w:author="GY" w:date="2019-07-01T14:42:00Z">
        <w:r>
          <w:rPr>
            <w:rFonts w:hint="eastAsia" w:eastAsia="宋体"/>
            <w:sz w:val="21"/>
            <w:szCs w:val="22"/>
            <w:lang w:val="en-US" w:eastAsia="zh-CN"/>
          </w:rPr>
          <w:t xml:space="preserve">towards the PLMN indicated </w:t>
        </w:r>
      </w:ins>
      <w:ins w:id="72" w:author="GY" w:date="2019-07-01T14:43:00Z">
        <w:r>
          <w:rPr>
            <w:rFonts w:hint="eastAsia" w:eastAsia="宋体"/>
            <w:sz w:val="21"/>
            <w:szCs w:val="22"/>
            <w:lang w:val="en-US" w:eastAsia="zh-CN"/>
          </w:rPr>
          <w:t>in DL RRC message transfer</w:t>
        </w:r>
      </w:ins>
      <w:ins w:id="73" w:author="GY" w:date="2019-07-01T14:44:00Z">
        <w:r>
          <w:rPr>
            <w:rFonts w:hint="eastAsia" w:eastAsia="宋体"/>
            <w:sz w:val="21"/>
            <w:szCs w:val="22"/>
            <w:lang w:val="en-US" w:eastAsia="zh-CN"/>
          </w:rPr>
          <w:t xml:space="preserve">, if </w:t>
        </w:r>
      </w:ins>
      <w:ins w:id="74" w:author="GY" w:date="2019-07-01T14:45:00Z">
        <w:r>
          <w:rPr>
            <w:rFonts w:hint="eastAsia" w:eastAsia="宋体"/>
            <w:sz w:val="21"/>
            <w:szCs w:val="22"/>
            <w:lang w:val="en-US" w:eastAsia="zh-CN"/>
          </w:rPr>
          <w:t xml:space="preserve">the PLMN </w:t>
        </w:r>
      </w:ins>
      <w:ins w:id="75" w:author="GY" w:date="2019-07-01T14:46:00Z">
        <w:r>
          <w:rPr>
            <w:rFonts w:hint="eastAsia" w:eastAsia="宋体"/>
            <w:sz w:val="21"/>
            <w:szCs w:val="22"/>
            <w:lang w:val="en-US" w:eastAsia="zh-CN"/>
          </w:rPr>
          <w:t>a</w:t>
        </w:r>
      </w:ins>
      <w:ins w:id="76" w:author="GY" w:date="2019-07-01T14:45:00Z">
        <w:r>
          <w:rPr>
            <w:rFonts w:hint="eastAsia" w:eastAsia="宋体"/>
            <w:sz w:val="21"/>
            <w:szCs w:val="22"/>
            <w:lang w:val="en-US" w:eastAsia="zh-CN"/>
          </w:rPr>
          <w:t xml:space="preserve">ssistance </w:t>
        </w:r>
      </w:ins>
      <w:ins w:id="77" w:author="GY" w:date="2019-07-01T14:46:00Z">
        <w:r>
          <w:rPr>
            <w:rFonts w:hint="eastAsia" w:eastAsia="宋体"/>
            <w:sz w:val="21"/>
            <w:szCs w:val="22"/>
            <w:lang w:val="en-US" w:eastAsia="zh-CN"/>
          </w:rPr>
          <w:t>i</w:t>
        </w:r>
      </w:ins>
      <w:ins w:id="78" w:author="GY" w:date="2019-07-01T14:45:00Z">
        <w:r>
          <w:rPr>
            <w:rFonts w:hint="eastAsia" w:eastAsia="宋体"/>
            <w:sz w:val="21"/>
            <w:szCs w:val="22"/>
            <w:lang w:val="en-US" w:eastAsia="zh-CN"/>
          </w:rPr>
          <w:t>nfo</w:t>
        </w:r>
      </w:ins>
      <w:ins w:id="79" w:author="GY" w:date="2019-07-01T14:46:00Z">
        <w:r>
          <w:rPr>
            <w:rFonts w:hint="eastAsia" w:eastAsia="宋体"/>
            <w:sz w:val="21"/>
            <w:szCs w:val="22"/>
            <w:lang w:val="en-US" w:eastAsia="zh-CN"/>
          </w:rPr>
          <w:t>rmation</w:t>
        </w:r>
      </w:ins>
      <w:ins w:id="80" w:author="GY" w:date="2019-07-01T14:45:00Z">
        <w:r>
          <w:rPr>
            <w:rFonts w:hint="eastAsia" w:eastAsia="宋体"/>
            <w:sz w:val="21"/>
            <w:szCs w:val="22"/>
            <w:lang w:val="en-US" w:eastAsia="zh-CN"/>
          </w:rPr>
          <w:t xml:space="preserve"> is </w:t>
        </w:r>
      </w:ins>
      <w:ins w:id="81" w:author="GY" w:date="2019-07-01T14:44:00Z">
        <w:r>
          <w:rPr>
            <w:rFonts w:hint="eastAsia" w:eastAsia="宋体"/>
            <w:sz w:val="21"/>
            <w:szCs w:val="22"/>
            <w:lang w:val="en-US" w:eastAsia="zh-CN"/>
          </w:rPr>
          <w:t>provided by the gNB-CU</w:t>
        </w:r>
      </w:ins>
      <w:ins w:id="82" w:author="GY" w:date="2019-07-01T14:44:00Z">
        <w:r>
          <w:rPr>
            <w:rFonts w:hint="eastAsia" w:eastAsia="宋体"/>
            <w:sz w:val="21"/>
            <w:szCs w:val="22"/>
            <w:vertAlign w:val="subscript"/>
            <w:lang w:val="en-US" w:eastAsia="zh-CN"/>
          </w:rPr>
          <w:t>A</w:t>
        </w:r>
      </w:ins>
      <w:r>
        <w:t>.The New gNB-DU</w:t>
      </w:r>
      <w:r>
        <w:rPr>
          <w:vertAlign w:val="subscript"/>
        </w:rPr>
        <w:t>A</w:t>
      </w:r>
      <w:r>
        <w:t xml:space="preserve"> is supposed to trigger the release the UE-associated signalling connection (not shown).</w:t>
      </w:r>
    </w:p>
    <w:p>
      <w:pPr>
        <w:pStyle w:val="76"/>
      </w:pPr>
      <w:r>
        <w:t>2B-5B.</w:t>
      </w:r>
      <w:r>
        <w:tab/>
      </w:r>
      <w:r>
        <w:t xml:space="preserve">Depicts the case where the UE context was retrievable by the </w:t>
      </w:r>
      <w:ins w:id="83" w:author="GY" w:date="2019-07-01T15:07:00Z">
        <w:r>
          <w:rPr>
            <w:rFonts w:hint="eastAsia" w:eastAsia="宋体"/>
            <w:lang w:val="en-US" w:eastAsia="zh-CN"/>
          </w:rPr>
          <w:t>N</w:t>
        </w:r>
      </w:ins>
      <w:r>
        <w:t>ew gNB-CU</w:t>
      </w:r>
      <w:r>
        <w:rPr>
          <w:vertAlign w:val="subscript"/>
        </w:rPr>
        <w:t>B</w:t>
      </w:r>
      <w:r>
        <w:t>. In step 2B, the NR CGI associated to PLMN</w:t>
      </w:r>
      <w:r>
        <w:rPr>
          <w:vertAlign w:val="subscript"/>
        </w:rPr>
        <w:t>B</w:t>
      </w:r>
      <w:r>
        <w:t xml:space="preserve"> is indicated. </w:t>
      </w:r>
      <w:ins w:id="84" w:author="GY" w:date="2019-07-01T15:13:00Z">
        <w:r>
          <w:rPr>
            <w:rFonts w:hint="eastAsia" w:eastAsia="宋体"/>
            <w:lang w:val="en-US" w:eastAsia="zh-CN"/>
          </w:rPr>
          <w:t xml:space="preserve">Step </w:t>
        </w:r>
      </w:ins>
      <w:r>
        <w:t>2B also includes the C-RNTI allocated at reception of step 1.</w:t>
      </w:r>
    </w:p>
    <w:p>
      <w:pPr>
        <w:pStyle w:val="76"/>
      </w:pPr>
      <w:r>
        <w:t>6-8.</w:t>
      </w:r>
      <w:r>
        <w:tab/>
      </w:r>
      <w:r>
        <w:t>The RRC Connection Reestablishment continues with the New gNB-CU</w:t>
      </w:r>
      <w:r>
        <w:rPr>
          <w:vertAlign w:val="subscript"/>
        </w:rPr>
        <w:t>B</w:t>
      </w:r>
      <w:r>
        <w:t>.</w:t>
      </w:r>
    </w:p>
    <w:p>
      <w:pPr>
        <w:pStyle w:val="56"/>
      </w:pPr>
      <w:r>
        <w:t>NOTE:</w:t>
      </w:r>
      <w:r>
        <w:tab/>
      </w:r>
      <w:r>
        <w:t>If all gNB-CUs indicate that the UE context is not retrievable, the RRC connection reestablishment falls back to RRC Connection setup, as described in section 8.</w:t>
      </w:r>
      <w:r>
        <w:rPr>
          <w:rFonts w:hint="eastAsia" w:eastAsia="宋体"/>
          <w:lang w:val="en-US" w:eastAsia="zh-CN"/>
        </w:rPr>
        <w:t>11</w:t>
      </w:r>
      <w:r>
        <w:t>.2.</w:t>
      </w:r>
    </w:p>
    <w:p>
      <w:pPr>
        <w:pStyle w:val="56"/>
        <w:rPr>
          <w:ins w:id="85" w:author="GY" w:date="2019-07-05T11:07:00Z"/>
        </w:rPr>
      </w:pPr>
      <w:ins w:id="86" w:author="GY" w:date="2019-07-05T11:07:00Z">
        <w:r>
          <w:rPr/>
          <w:t>NOTE: Initiating procedures from gNB-DU</w:t>
        </w:r>
      </w:ins>
      <w:ins w:id="87" w:author="GY" w:date="2019-07-05T11:07:00Z">
        <w:r>
          <w:rPr>
            <w:vertAlign w:val="subscript"/>
          </w:rPr>
          <w:t>A</w:t>
        </w:r>
      </w:ins>
      <w:ins w:id="88" w:author="GY" w:date="2019-07-05T11:07:00Z">
        <w:r>
          <w:rPr/>
          <w:t xml:space="preserve"> towards gNB-CU</w:t>
        </w:r>
      </w:ins>
      <w:ins w:id="89" w:author="GY" w:date="2019-07-05T11:07:00Z">
        <w:r>
          <w:rPr>
            <w:vertAlign w:val="subscript"/>
          </w:rPr>
          <w:t>A</w:t>
        </w:r>
      </w:ins>
      <w:ins w:id="90" w:author="GY" w:date="2019-07-05T11:07:00Z">
        <w:r>
          <w:rPr/>
          <w:t xml:space="preserve"> and from gNB-DU</w:t>
        </w:r>
      </w:ins>
      <w:ins w:id="91" w:author="GY" w:date="2019-07-05T11:07:00Z">
        <w:r>
          <w:rPr>
            <w:vertAlign w:val="subscript"/>
          </w:rPr>
          <w:t>B</w:t>
        </w:r>
      </w:ins>
      <w:ins w:id="92" w:author="GY" w:date="2019-07-05T11:07:00Z">
        <w:r>
          <w:rPr/>
          <w:t xml:space="preserve"> to gNB-CU</w:t>
        </w:r>
      </w:ins>
      <w:ins w:id="93" w:author="GY" w:date="2019-07-05T11:07:00Z">
        <w:r>
          <w:rPr>
            <w:vertAlign w:val="subscript"/>
          </w:rPr>
          <w:t>B</w:t>
        </w:r>
      </w:ins>
      <w:ins w:id="94" w:author="GY" w:date="2019-07-05T11:07:00Z">
        <w:r>
          <w:rPr/>
          <w:t xml:space="preserve"> in parallel is not precluded.</w:t>
        </w:r>
      </w:ins>
    </w:p>
    <w:p>
      <w:pPr>
        <w:pStyle w:val="56"/>
      </w:pP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rson w15:author="lidapeng">
    <w15:presenceInfo w15:providerId="None" w15:userId="lidapeng"/>
  </w15:person>
  <w15:person w15:author="ZTE-LiDapeng">
    <w15:presenceInfo w15:providerId="None" w15:userId="ZTE-LiDapeng"/>
  </w15:person>
  <w15:person w15:author="Ericsson User_v01">
    <w15:presenceInfo w15:providerId="None" w15:userId="Ericsson User_v01"/>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469B"/>
    <w:rsid w:val="000A6394"/>
    <w:rsid w:val="000B7FED"/>
    <w:rsid w:val="000C038A"/>
    <w:rsid w:val="000C6598"/>
    <w:rsid w:val="00145D43"/>
    <w:rsid w:val="00192C46"/>
    <w:rsid w:val="001A08B3"/>
    <w:rsid w:val="001A7B60"/>
    <w:rsid w:val="001B52F0"/>
    <w:rsid w:val="001B7A65"/>
    <w:rsid w:val="001D0E63"/>
    <w:rsid w:val="001E41F3"/>
    <w:rsid w:val="0026004D"/>
    <w:rsid w:val="002640DD"/>
    <w:rsid w:val="00275D12"/>
    <w:rsid w:val="00284FEB"/>
    <w:rsid w:val="002860C4"/>
    <w:rsid w:val="002B5741"/>
    <w:rsid w:val="00305409"/>
    <w:rsid w:val="00313431"/>
    <w:rsid w:val="003609EF"/>
    <w:rsid w:val="0036231A"/>
    <w:rsid w:val="00374DD4"/>
    <w:rsid w:val="0039058B"/>
    <w:rsid w:val="003E1A36"/>
    <w:rsid w:val="00410371"/>
    <w:rsid w:val="004242F1"/>
    <w:rsid w:val="00444981"/>
    <w:rsid w:val="00450B19"/>
    <w:rsid w:val="004B75B7"/>
    <w:rsid w:val="0051580D"/>
    <w:rsid w:val="00547111"/>
    <w:rsid w:val="00592D74"/>
    <w:rsid w:val="005E2C44"/>
    <w:rsid w:val="00621188"/>
    <w:rsid w:val="006257ED"/>
    <w:rsid w:val="00695808"/>
    <w:rsid w:val="006B46FB"/>
    <w:rsid w:val="006D45FA"/>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4765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4CCD"/>
    <w:rsid w:val="00D03F9A"/>
    <w:rsid w:val="00D06D51"/>
    <w:rsid w:val="00D24991"/>
    <w:rsid w:val="00D50255"/>
    <w:rsid w:val="00D66520"/>
    <w:rsid w:val="00DE34CF"/>
    <w:rsid w:val="00E13F3D"/>
    <w:rsid w:val="00E34898"/>
    <w:rsid w:val="00E44BF0"/>
    <w:rsid w:val="00E80400"/>
    <w:rsid w:val="00EB09B7"/>
    <w:rsid w:val="00EE7D7C"/>
    <w:rsid w:val="00F25D98"/>
    <w:rsid w:val="00F300FB"/>
    <w:rsid w:val="00FB6386"/>
    <w:rsid w:val="00FE0360"/>
    <w:rsid w:val="05C153E9"/>
    <w:rsid w:val="06F23BC6"/>
    <w:rsid w:val="083C5E2F"/>
    <w:rsid w:val="08E54A1E"/>
    <w:rsid w:val="0C181294"/>
    <w:rsid w:val="10A24D10"/>
    <w:rsid w:val="131130F7"/>
    <w:rsid w:val="134A420C"/>
    <w:rsid w:val="14591BB9"/>
    <w:rsid w:val="146F0DEF"/>
    <w:rsid w:val="176048DC"/>
    <w:rsid w:val="17961834"/>
    <w:rsid w:val="17A120C3"/>
    <w:rsid w:val="18EF407D"/>
    <w:rsid w:val="19535554"/>
    <w:rsid w:val="1BFB70BB"/>
    <w:rsid w:val="1C7A3976"/>
    <w:rsid w:val="1CE128C4"/>
    <w:rsid w:val="1D346965"/>
    <w:rsid w:val="1E117B61"/>
    <w:rsid w:val="1F8409FA"/>
    <w:rsid w:val="20F01DA9"/>
    <w:rsid w:val="213334E4"/>
    <w:rsid w:val="23A4380B"/>
    <w:rsid w:val="24B4698B"/>
    <w:rsid w:val="25D0012B"/>
    <w:rsid w:val="25F00C47"/>
    <w:rsid w:val="2886249D"/>
    <w:rsid w:val="28C74EC8"/>
    <w:rsid w:val="293867BB"/>
    <w:rsid w:val="2A1622F8"/>
    <w:rsid w:val="2DFC7B86"/>
    <w:rsid w:val="3021202B"/>
    <w:rsid w:val="31602F51"/>
    <w:rsid w:val="336C5C23"/>
    <w:rsid w:val="34D83F3F"/>
    <w:rsid w:val="36745219"/>
    <w:rsid w:val="37BF4A58"/>
    <w:rsid w:val="381A328F"/>
    <w:rsid w:val="38883945"/>
    <w:rsid w:val="38B34314"/>
    <w:rsid w:val="39B20CBB"/>
    <w:rsid w:val="3B5F66CE"/>
    <w:rsid w:val="3B7F2499"/>
    <w:rsid w:val="3C57666A"/>
    <w:rsid w:val="3D2778A1"/>
    <w:rsid w:val="3F744B1E"/>
    <w:rsid w:val="40C33BC5"/>
    <w:rsid w:val="4214348B"/>
    <w:rsid w:val="46FC0AE6"/>
    <w:rsid w:val="486B538A"/>
    <w:rsid w:val="4A3406A6"/>
    <w:rsid w:val="4AF24F01"/>
    <w:rsid w:val="4CA64C68"/>
    <w:rsid w:val="4CCF262A"/>
    <w:rsid w:val="4D970DB1"/>
    <w:rsid w:val="4DB9348F"/>
    <w:rsid w:val="4EC275DB"/>
    <w:rsid w:val="4ED10546"/>
    <w:rsid w:val="4F2967E2"/>
    <w:rsid w:val="51225904"/>
    <w:rsid w:val="51417336"/>
    <w:rsid w:val="51656A3A"/>
    <w:rsid w:val="529C7A20"/>
    <w:rsid w:val="52A63871"/>
    <w:rsid w:val="5462536E"/>
    <w:rsid w:val="54866FCA"/>
    <w:rsid w:val="552E7305"/>
    <w:rsid w:val="55FF19B3"/>
    <w:rsid w:val="562E3932"/>
    <w:rsid w:val="56995CEB"/>
    <w:rsid w:val="56B1499D"/>
    <w:rsid w:val="576C6A92"/>
    <w:rsid w:val="5B2E3D92"/>
    <w:rsid w:val="5C7D1617"/>
    <w:rsid w:val="5C90079C"/>
    <w:rsid w:val="5D460DC4"/>
    <w:rsid w:val="5F02413A"/>
    <w:rsid w:val="61A55732"/>
    <w:rsid w:val="63545A3E"/>
    <w:rsid w:val="638675FC"/>
    <w:rsid w:val="65047DBF"/>
    <w:rsid w:val="69721AF4"/>
    <w:rsid w:val="6C4C7540"/>
    <w:rsid w:val="6CCB181A"/>
    <w:rsid w:val="6F1F562F"/>
    <w:rsid w:val="70243D0B"/>
    <w:rsid w:val="71200E0A"/>
    <w:rsid w:val="7236059A"/>
    <w:rsid w:val="73692CE2"/>
    <w:rsid w:val="741048BC"/>
    <w:rsid w:val="74DE00EE"/>
    <w:rsid w:val="763D691F"/>
    <w:rsid w:val="77B4056D"/>
    <w:rsid w:val="79165668"/>
    <w:rsid w:val="7D5744B5"/>
    <w:rsid w:val="7DFA652B"/>
    <w:rsid w:val="7E560E34"/>
    <w:rsid w:val="7EAD4389"/>
    <w:rsid w:val="7F781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2">
    <w:name w:val="tdoc-header"/>
    <w:qFormat/>
    <w:uiPriority w:val="0"/>
    <w:pPr>
      <w:spacing w:after="160" w:line="259" w:lineRule="auto"/>
    </w:pPr>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E39D55-97DD-4FFB-9328-9E2A9F070347}">
  <ds:schemaRefs/>
</ds:datastoreItem>
</file>

<file path=customXml/itemProps3.xml><?xml version="1.0" encoding="utf-8"?>
<ds:datastoreItem xmlns:ds="http://schemas.openxmlformats.org/officeDocument/2006/customXml" ds:itemID="{CC80C062-212C-4E4F-9049-B4C626B487D6}">
  <ds:schemaRefs/>
</ds:datastoreItem>
</file>

<file path=customXml/itemProps4.xml><?xml version="1.0" encoding="utf-8"?>
<ds:datastoreItem xmlns:ds="http://schemas.openxmlformats.org/officeDocument/2006/customXml" ds:itemID="{076716CE-3E7E-4C2D-A40E-4715F39E355D}">
  <ds:schemaRefs/>
</ds:datastoreItem>
</file>

<file path=customXml/itemProps5.xml><?xml version="1.0" encoding="utf-8"?>
<ds:datastoreItem xmlns:ds="http://schemas.openxmlformats.org/officeDocument/2006/customXml" ds:itemID="{3F7B89E6-ADF7-447A-8179-DC649CB1DF9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1016</Words>
  <Characters>5792</Characters>
  <Lines>48</Lines>
  <Paragraphs>13</Paragraphs>
  <TotalTime>2</TotalTime>
  <ScaleCrop>false</ScaleCrop>
  <LinksUpToDate>false</LinksUpToDate>
  <CharactersWithSpaces>6795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2019-10-18T02:25:00Z</dcterms:created>
  <dc:creator>Michael Sanders, John M Meredith</dc:creator>
  <cp:lastModifiedBy>GY</cp:lastModifiedBy>
  <cp:lastPrinted>2411-12-31T22:59:00Z</cp:lastPrinted>
  <dcterms:modified xsi:type="dcterms:W3CDTF">2019-11-29T06:54:51Z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ContentTypeId">
    <vt:lpwstr>0x0101003AA7AC0C743A294CADF60F661720E3E6</vt:lpwstr>
  </property>
</Properties>
</file>